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3B" w:rsidRPr="00C62B3B" w:rsidRDefault="00C62B3B" w:rsidP="00C6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>Windar Photonics plc</w:t>
      </w:r>
    </w:p>
    <w:p w:rsidR="00C62B3B" w:rsidRPr="00C62B3B" w:rsidRDefault="00C62B3B" w:rsidP="00C62B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62B3B">
        <w:rPr>
          <w:rFonts w:ascii="Arial" w:eastAsia="Times New Roman" w:hAnsi="Arial" w:cs="Arial"/>
          <w:color w:val="000000"/>
          <w:sz w:val="20"/>
          <w:szCs w:val="20"/>
        </w:rPr>
        <w:t>("Windar" or the "Company")</w:t>
      </w:r>
    </w:p>
    <w:p w:rsidR="00C62B3B" w:rsidRPr="00C62B3B" w:rsidRDefault="00C62B3B" w:rsidP="00C62B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62B3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2B3B" w:rsidRPr="00C62B3B" w:rsidRDefault="00C62B3B" w:rsidP="00C6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proofErr w:type="spellStart"/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>Director</w:t>
      </w:r>
      <w:proofErr w:type="spellEnd"/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>Dealing</w:t>
      </w:r>
      <w:proofErr w:type="spellEnd"/>
    </w:p>
    <w:p w:rsidR="00C62B3B" w:rsidRPr="00C62B3B" w:rsidRDefault="00C62B3B" w:rsidP="00C62B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62B3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62B3B" w:rsidRDefault="00C62B3B" w:rsidP="00C62B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Windar Photonics plc (AIM:WPHO), the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technology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group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has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developed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cost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efficient and innovative LIDAR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wind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sensor for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use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on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electricity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generating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wind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turbines, </w:t>
      </w:r>
      <w:r w:rsidRPr="00C62B3B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announces that the Put / Call option agreement (the “Agreement”) entered into by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Pasinika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s.á.r.l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 xml:space="preserve"> ("</w:t>
      </w:r>
      <w:proofErr w:type="spellStart"/>
      <w:r w:rsidRPr="00C62B3B">
        <w:rPr>
          <w:rFonts w:ascii="Arial" w:eastAsia="Times New Roman" w:hAnsi="Arial" w:cs="Arial"/>
          <w:color w:val="000000"/>
          <w:sz w:val="20"/>
          <w:szCs w:val="20"/>
        </w:rPr>
        <w:t>Pasinika</w:t>
      </w:r>
      <w:proofErr w:type="spellEnd"/>
      <w:r w:rsidRPr="00C62B3B">
        <w:rPr>
          <w:rFonts w:ascii="Arial" w:eastAsia="Times New Roman" w:hAnsi="Arial" w:cs="Arial"/>
          <w:color w:val="000000"/>
          <w:sz w:val="20"/>
          <w:szCs w:val="20"/>
        </w:rPr>
        <w:t>")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wholly owned by </w:t>
      </w:r>
      <w:r>
        <w:rPr>
          <w:rFonts w:ascii="Arial" w:hAnsi="Arial" w:cs="Arial"/>
          <w:color w:val="000000"/>
          <w:sz w:val="20"/>
          <w:szCs w:val="20"/>
        </w:rPr>
        <w:t>Jørgen Korsgaard Jensen</w:t>
      </w:r>
      <w:r w:rsidRPr="00C62B3B">
        <w:rPr>
          <w:rFonts w:ascii="Arial" w:eastAsia="Times New Roman" w:hAnsi="Arial" w:cs="Arial"/>
          <w:color w:val="000000"/>
          <w:sz w:val="20"/>
          <w:szCs w:val="20"/>
        </w:rPr>
        <w:t>, CEO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of the Company, on 15 March 2016 has been extended </w:t>
      </w:r>
      <w:r w:rsidR="00041B9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by six months 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and wil</w:t>
      </w:r>
      <w:r w:rsidR="007B471C">
        <w:rPr>
          <w:rFonts w:ascii="Arial" w:eastAsia="Times New Roman" w:hAnsi="Arial" w:cs="Arial"/>
          <w:color w:val="000000"/>
          <w:sz w:val="20"/>
          <w:szCs w:val="20"/>
          <w:lang w:val="en-GB"/>
        </w:rPr>
        <w:t>l now expire on 31 December 2019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. </w:t>
      </w:r>
    </w:p>
    <w:p w:rsidR="00C62B3B" w:rsidRDefault="00C62B3B" w:rsidP="00C62B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C62B3B" w:rsidRPr="00C62B3B" w:rsidRDefault="00C62B3B" w:rsidP="00C62B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Full details of the Agreement are contained in the announcement released to the market on 15 March 2016.</w:t>
      </w:r>
    </w:p>
    <w:p w:rsidR="00C62B3B" w:rsidRPr="00C62B3B" w:rsidRDefault="00C62B3B" w:rsidP="00C62B3B">
      <w:pPr>
        <w:spacing w:before="220" w:after="2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C62B3B" w:rsidRPr="00C62B3B" w:rsidRDefault="00C62B3B" w:rsidP="00C62B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</w:t>
      </w:r>
      <w:proofErr w:type="spellStart"/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>further</w:t>
      </w:r>
      <w:proofErr w:type="spellEnd"/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information:</w:t>
      </w:r>
    </w:p>
    <w:p w:rsidR="00C62B3B" w:rsidRPr="00C62B3B" w:rsidRDefault="00C62B3B" w:rsidP="00C62B3B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62B3B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tbl>
      <w:tblPr>
        <w:tblW w:w="9300" w:type="dxa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40"/>
        <w:gridCol w:w="2366"/>
      </w:tblGrid>
      <w:tr w:rsidR="00C62B3B" w:rsidRPr="00C62B3B" w:rsidTr="00EB6515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2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Windar Photonics plc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Jørgen Korsgaard Jensen</w:t>
            </w:r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CEO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+45 2168 9476</w:t>
            </w:r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C62B3B" w:rsidRPr="00C62B3B" w:rsidTr="007B471C">
        <w:trPr>
          <w:trHeight w:val="686"/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62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Cantor</w:t>
            </w:r>
            <w:proofErr w:type="spellEnd"/>
            <w:r w:rsidRPr="00C62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Fitzgerald Europe</w:t>
            </w:r>
          </w:p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62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Nominated</w:t>
            </w:r>
            <w:proofErr w:type="spellEnd"/>
            <w:r w:rsidRPr="00C62B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Adviser and Broker</w:t>
            </w:r>
          </w:p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David Foreman</w:t>
            </w:r>
          </w:p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Salmond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B3B" w:rsidRPr="00C62B3B" w:rsidRDefault="00C62B3B" w:rsidP="00EB6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+44 (0)20 7894 7000</w:t>
            </w:r>
            <w:r w:rsidRPr="00C62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7B471C" w:rsidRPr="00C62B3B" w:rsidTr="00EB6515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471C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Newgate Communications</w:t>
            </w:r>
          </w:p>
          <w:p w:rsidR="007B471C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B471C" w:rsidRPr="007B471C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GB"/>
              </w:rPr>
              <w:t>Financial PR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471C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Elisabeth Cowell</w:t>
            </w:r>
          </w:p>
          <w:p w:rsidR="007B471C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Adam Lloyd</w:t>
            </w:r>
          </w:p>
          <w:p w:rsidR="007B471C" w:rsidRPr="00C62B3B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Tom Carnegie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471C" w:rsidRPr="007B471C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+44 (0)20 3757 6880</w:t>
            </w:r>
          </w:p>
        </w:tc>
      </w:tr>
      <w:tr w:rsidR="007B471C" w:rsidRPr="00C62B3B" w:rsidTr="00EB6515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471C" w:rsidRPr="00C62B3B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471C" w:rsidRPr="00C62B3B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471C" w:rsidRPr="00C62B3B" w:rsidRDefault="007B471C" w:rsidP="00EB6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B471C" w:rsidRDefault="007B471C" w:rsidP="00C62B3B">
      <w:pPr>
        <w:pStyle w:val="bd"/>
        <w:spacing w:before="0" w:beforeAutospacing="0" w:line="233" w:lineRule="atLeast"/>
        <w:jc w:val="both"/>
        <w:rPr>
          <w:rStyle w:val="ai"/>
          <w:rFonts w:ascii="Arial" w:hAnsi="Arial" w:cs="Arial"/>
          <w:b/>
          <w:bCs/>
          <w:color w:val="00000A"/>
          <w:sz w:val="20"/>
          <w:szCs w:val="20"/>
        </w:rPr>
      </w:pPr>
    </w:p>
    <w:p w:rsidR="007B471C" w:rsidRDefault="007B471C" w:rsidP="00C62B3B">
      <w:pPr>
        <w:pStyle w:val="bd"/>
        <w:spacing w:before="0" w:beforeAutospacing="0" w:line="233" w:lineRule="atLeast"/>
        <w:jc w:val="both"/>
        <w:rPr>
          <w:rStyle w:val="ai"/>
          <w:rFonts w:ascii="Arial" w:hAnsi="Arial" w:cs="Arial"/>
          <w:b/>
          <w:bCs/>
          <w:color w:val="00000A"/>
          <w:sz w:val="20"/>
          <w:szCs w:val="20"/>
        </w:rPr>
      </w:pPr>
    </w:p>
    <w:p w:rsidR="007B471C" w:rsidRDefault="007B471C" w:rsidP="00C62B3B">
      <w:pPr>
        <w:pStyle w:val="bd"/>
        <w:spacing w:before="0" w:beforeAutospacing="0" w:line="233" w:lineRule="atLeast"/>
        <w:jc w:val="both"/>
        <w:rPr>
          <w:rStyle w:val="ai"/>
          <w:rFonts w:ascii="Arial" w:hAnsi="Arial" w:cs="Arial"/>
          <w:b/>
          <w:bCs/>
          <w:color w:val="00000A"/>
          <w:sz w:val="20"/>
          <w:szCs w:val="20"/>
        </w:rPr>
      </w:pPr>
    </w:p>
    <w:p w:rsidR="00C62B3B" w:rsidRDefault="00C62B3B" w:rsidP="00C62B3B">
      <w:pPr>
        <w:pStyle w:val="bd"/>
        <w:spacing w:before="0" w:beforeAutospacing="0" w:line="233" w:lineRule="atLeast"/>
        <w:jc w:val="both"/>
        <w:rPr>
          <w:rFonts w:ascii="Calibri" w:hAnsi="Calibri"/>
          <w:b/>
          <w:bCs/>
          <w:color w:val="00000A"/>
          <w:sz w:val="22"/>
          <w:szCs w:val="22"/>
        </w:rPr>
      </w:pPr>
      <w:r>
        <w:rPr>
          <w:rStyle w:val="ai"/>
          <w:rFonts w:ascii="Arial" w:hAnsi="Arial" w:cs="Arial"/>
          <w:b/>
          <w:bCs/>
          <w:color w:val="00000A"/>
          <w:sz w:val="20"/>
          <w:szCs w:val="20"/>
        </w:rPr>
        <w:t>About Windar:</w:t>
      </w:r>
    </w:p>
    <w:p w:rsidR="00C62B3B" w:rsidRDefault="00C62B3B" w:rsidP="00C62B3B">
      <w:pPr>
        <w:pStyle w:val="av"/>
        <w:spacing w:before="0" w:beforeAutospacing="0" w:line="233" w:lineRule="atLeast"/>
        <w:jc w:val="both"/>
        <w:rPr>
          <w:rFonts w:ascii="Calibri" w:hAnsi="Calibri"/>
          <w:color w:val="00000A"/>
          <w:sz w:val="22"/>
          <w:szCs w:val="22"/>
        </w:rPr>
      </w:pPr>
      <w:r>
        <w:rPr>
          <w:rStyle w:val="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Windar Photonics is a technology group that develops cost-efficient and innovative Light Detection and Ranging ("LiDAR") </w:t>
      </w:r>
      <w:proofErr w:type="spellStart"/>
      <w:r>
        <w:rPr>
          <w:rStyle w:val="s"/>
          <w:rFonts w:ascii="Arial" w:hAnsi="Arial" w:cs="Arial"/>
          <w:color w:val="000000"/>
          <w:sz w:val="20"/>
          <w:szCs w:val="20"/>
          <w:shd w:val="clear" w:color="auto" w:fill="FFFFFF"/>
        </w:rPr>
        <w:t>optimisation</w:t>
      </w:r>
      <w:proofErr w:type="spellEnd"/>
      <w:r>
        <w:rPr>
          <w:rStyle w:val="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systems for use on electricity generating wind turbines. LiDAR wind sensors in general are designed to remotely measure wind speed and direction.</w:t>
      </w:r>
    </w:p>
    <w:p w:rsidR="00C62B3B" w:rsidRDefault="00F35A15" w:rsidP="00C62B3B">
      <w:pPr>
        <w:pStyle w:val="ba"/>
        <w:spacing w:before="0" w:beforeAutospacing="0"/>
        <w:jc w:val="both"/>
        <w:rPr>
          <w:rFonts w:ascii="Calibri" w:hAnsi="Calibri"/>
          <w:color w:val="00000A"/>
          <w:sz w:val="22"/>
          <w:szCs w:val="22"/>
        </w:rPr>
      </w:pPr>
      <w:hyperlink r:id="rId6" w:history="1">
        <w:r w:rsidR="00C62B3B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http://investor.windarphotonics.com</w:t>
        </w:r>
      </w:hyperlink>
      <w:r w:rsidR="00C62B3B">
        <w:rPr>
          <w:rStyle w:val="ao"/>
          <w:rFonts w:ascii="Arial" w:hAnsi="Arial" w:cs="Arial"/>
          <w:color w:val="000000"/>
          <w:sz w:val="20"/>
          <w:szCs w:val="20"/>
        </w:rPr>
        <w:t> </w:t>
      </w:r>
    </w:p>
    <w:p w:rsidR="00C62B3B" w:rsidRDefault="00C62B3B" w:rsidP="00C62B3B">
      <w:pPr>
        <w:pStyle w:val="av"/>
        <w:spacing w:before="0" w:beforeAutospacing="0" w:line="233" w:lineRule="atLeast"/>
        <w:jc w:val="both"/>
        <w:rPr>
          <w:rFonts w:ascii="Calibri" w:hAnsi="Calibri"/>
          <w:color w:val="00000A"/>
          <w:sz w:val="22"/>
          <w:szCs w:val="22"/>
        </w:rPr>
      </w:pPr>
      <w:r>
        <w:rPr>
          <w:rStyle w:val="ag"/>
          <w:rFonts w:ascii="Arial" w:hAnsi="Arial" w:cs="Arial"/>
          <w:sz w:val="20"/>
          <w:szCs w:val="20"/>
        </w:rPr>
        <w:t> </w:t>
      </w:r>
    </w:p>
    <w:p w:rsidR="005D0FA3" w:rsidRPr="00C62B3B" w:rsidRDefault="005D0FA3">
      <w:pPr>
        <w:rPr>
          <w:rFonts w:ascii="Arial" w:hAnsi="Arial" w:cs="Arial"/>
          <w:sz w:val="20"/>
          <w:szCs w:val="20"/>
        </w:rPr>
      </w:pPr>
    </w:p>
    <w:sectPr w:rsidR="005D0FA3" w:rsidRPr="00C6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15" w:rsidRDefault="00F35A15" w:rsidP="00FD1908">
      <w:pPr>
        <w:spacing w:after="0" w:line="240" w:lineRule="auto"/>
      </w:pPr>
      <w:r>
        <w:separator/>
      </w:r>
    </w:p>
  </w:endnote>
  <w:endnote w:type="continuationSeparator" w:id="0">
    <w:p w:rsidR="00F35A15" w:rsidRDefault="00F35A15" w:rsidP="00FD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15" w:rsidRDefault="00F35A15" w:rsidP="00FD1908">
      <w:pPr>
        <w:spacing w:after="0" w:line="240" w:lineRule="auto"/>
      </w:pPr>
      <w:r>
        <w:separator/>
      </w:r>
    </w:p>
  </w:footnote>
  <w:footnote w:type="continuationSeparator" w:id="0">
    <w:p w:rsidR="00F35A15" w:rsidRDefault="00F35A15" w:rsidP="00FD1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62B3B"/>
    <w:rsid w:val="00012CEA"/>
    <w:rsid w:val="00041B96"/>
    <w:rsid w:val="00056AB5"/>
    <w:rsid w:val="001E10C6"/>
    <w:rsid w:val="00282B27"/>
    <w:rsid w:val="0028669B"/>
    <w:rsid w:val="002C0AD5"/>
    <w:rsid w:val="002D0E71"/>
    <w:rsid w:val="00321647"/>
    <w:rsid w:val="003455CC"/>
    <w:rsid w:val="00354A09"/>
    <w:rsid w:val="003B03B4"/>
    <w:rsid w:val="003B3A16"/>
    <w:rsid w:val="00414455"/>
    <w:rsid w:val="00456BC7"/>
    <w:rsid w:val="00461E58"/>
    <w:rsid w:val="00466448"/>
    <w:rsid w:val="004953F3"/>
    <w:rsid w:val="004A27CA"/>
    <w:rsid w:val="005D0FA3"/>
    <w:rsid w:val="00674F34"/>
    <w:rsid w:val="007B471C"/>
    <w:rsid w:val="007E77E9"/>
    <w:rsid w:val="007F134E"/>
    <w:rsid w:val="008D3E70"/>
    <w:rsid w:val="00983B1C"/>
    <w:rsid w:val="00986FAA"/>
    <w:rsid w:val="00AA1772"/>
    <w:rsid w:val="00C62B3B"/>
    <w:rsid w:val="00CA0B7F"/>
    <w:rsid w:val="00CC478F"/>
    <w:rsid w:val="00D9645E"/>
    <w:rsid w:val="00DC5E70"/>
    <w:rsid w:val="00E0431D"/>
    <w:rsid w:val="00E71466"/>
    <w:rsid w:val="00EB5B9B"/>
    <w:rsid w:val="00EC1C73"/>
    <w:rsid w:val="00EC2DE8"/>
    <w:rsid w:val="00F32F6A"/>
    <w:rsid w:val="00F35A15"/>
    <w:rsid w:val="00F410AA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55A14-0B6E-40EF-A3C4-0313B80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B"/>
    <w:pPr>
      <w:spacing w:after="160" w:line="259" w:lineRule="auto"/>
    </w:pPr>
    <w:rPr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d">
    <w:name w:val="bd"/>
    <w:basedOn w:val="Normal"/>
    <w:rsid w:val="00C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i">
    <w:name w:val="ai"/>
    <w:basedOn w:val="Standardskrifttypeiafsnit"/>
    <w:rsid w:val="00C62B3B"/>
  </w:style>
  <w:style w:type="paragraph" w:customStyle="1" w:styleId="av">
    <w:name w:val="av"/>
    <w:basedOn w:val="Normal"/>
    <w:rsid w:val="00C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">
    <w:name w:val="s"/>
    <w:basedOn w:val="Standardskrifttypeiafsnit"/>
    <w:rsid w:val="00C62B3B"/>
  </w:style>
  <w:style w:type="paragraph" w:customStyle="1" w:styleId="ba">
    <w:name w:val="ba"/>
    <w:basedOn w:val="Normal"/>
    <w:rsid w:val="00C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">
    <w:name w:val="r"/>
    <w:basedOn w:val="Standardskrifttypeiafsnit"/>
    <w:rsid w:val="00C62B3B"/>
  </w:style>
  <w:style w:type="character" w:styleId="Hyperlink">
    <w:name w:val="Hyperlink"/>
    <w:basedOn w:val="Standardskrifttypeiafsnit"/>
    <w:uiPriority w:val="99"/>
    <w:semiHidden/>
    <w:unhideWhenUsed/>
    <w:rsid w:val="00C62B3B"/>
    <w:rPr>
      <w:color w:val="0000FF"/>
      <w:u w:val="single"/>
    </w:rPr>
  </w:style>
  <w:style w:type="character" w:customStyle="1" w:styleId="ao">
    <w:name w:val="ao"/>
    <w:basedOn w:val="Standardskrifttypeiafsnit"/>
    <w:rsid w:val="00C62B3B"/>
  </w:style>
  <w:style w:type="character" w:customStyle="1" w:styleId="ag">
    <w:name w:val="ag"/>
    <w:basedOn w:val="Standardskrifttypeiafsnit"/>
    <w:rsid w:val="00C62B3B"/>
  </w:style>
  <w:style w:type="paragraph" w:styleId="Sidehoved">
    <w:name w:val="header"/>
    <w:basedOn w:val="Normal"/>
    <w:link w:val="SidehovedTegn"/>
    <w:uiPriority w:val="99"/>
    <w:unhideWhenUsed/>
    <w:rsid w:val="00FD1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1908"/>
    <w:rPr>
      <w:lang w:val="x-none"/>
    </w:rPr>
  </w:style>
  <w:style w:type="paragraph" w:styleId="Sidefod">
    <w:name w:val="footer"/>
    <w:basedOn w:val="Normal"/>
    <w:link w:val="SidefodTegn"/>
    <w:uiPriority w:val="99"/>
    <w:unhideWhenUsed/>
    <w:rsid w:val="00FD1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190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stor.windarphotonic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BGC Partners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Salmond</dc:creator>
  <cp:lastModifiedBy>Margit Eriksen</cp:lastModifiedBy>
  <cp:revision>2</cp:revision>
  <dcterms:created xsi:type="dcterms:W3CDTF">2019-07-01T08:10:00Z</dcterms:created>
  <dcterms:modified xsi:type="dcterms:W3CDTF">2019-07-01T08:10:00Z</dcterms:modified>
</cp:coreProperties>
</file>